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5E4CFB" w:rsidP="00057103">
      <w:pPr>
        <w:jc w:val="right"/>
        <w:rPr>
          <w:b/>
          <w:noProof/>
          <w:lang w:eastAsia="zh-TW"/>
        </w:rPr>
      </w:pPr>
      <w:r>
        <w:rPr>
          <w:b/>
          <w:noProof/>
          <w:lang w:eastAsia="zh-TW"/>
        </w:rPr>
        <w:t xml:space="preserve"> </w:t>
      </w: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Topic area</w:t>
            </w:r>
          </w:p>
          <w:p w:rsidR="005A75DC" w:rsidRDefault="005A75DC" w:rsidP="005A75DC">
            <w:pPr>
              <w:jc w:val="center"/>
            </w:pPr>
            <w:r>
              <w:t>(The What)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E4CFB" w:rsidRDefault="005E4CFB" w:rsidP="005A75DC">
            <w:pPr>
              <w:rPr>
                <w:sz w:val="28"/>
                <w:szCs w:val="28"/>
              </w:rPr>
            </w:pPr>
            <w:r w:rsidRPr="005E4CFB">
              <w:rPr>
                <w:sz w:val="28"/>
                <w:szCs w:val="28"/>
              </w:rPr>
              <w:t xml:space="preserve">The visibility of learning. </w:t>
            </w:r>
          </w:p>
          <w:p w:rsidR="005A75DC" w:rsidRPr="005E4CFB" w:rsidRDefault="005E4CFB" w:rsidP="005A75DC">
            <w:pPr>
              <w:rPr>
                <w:sz w:val="28"/>
                <w:szCs w:val="28"/>
              </w:rPr>
            </w:pPr>
            <w:r w:rsidRPr="005E4CFB">
              <w:rPr>
                <w:sz w:val="28"/>
                <w:szCs w:val="28"/>
              </w:rPr>
              <w:t>Student learning goals and student understanding of learning intentions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Context</w:t>
            </w:r>
          </w:p>
          <w:p w:rsidR="005A75DC" w:rsidRDefault="005A75DC" w:rsidP="005A75DC">
            <w:pPr>
              <w:jc w:val="center"/>
            </w:pPr>
            <w:r>
              <w:t>(The Where and When)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5E4CFB" w:rsidP="005E4CFB">
            <w:r>
              <w:t>Building on Instructional Leadership in Mid North Coast NSW through 2013, professional conversation with Principal exchange from Ontario August 2013. Visits to several schools in Toronto</w:t>
            </w:r>
            <w:r w:rsidR="003503B5">
              <w:t xml:space="preserve"> District School Board (TDSB)</w:t>
            </w:r>
            <w:r>
              <w:t xml:space="preserve"> then followed in October 2013</w:t>
            </w:r>
            <w:r w:rsidR="003503B5">
              <w:t>. This included a morning with a District Review Team.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Research methods</w:t>
            </w:r>
          </w:p>
          <w:p w:rsidR="005A75DC" w:rsidRDefault="005A75DC" w:rsidP="005A75DC">
            <w:pPr>
              <w:jc w:val="center"/>
            </w:pPr>
            <w:r>
              <w:t>(The How)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5E4CFB" w:rsidP="005A75DC">
            <w:r>
              <w:t xml:space="preserve">Professional Reading: Hattie- Visible Learning for Teachers, Dylan </w:t>
            </w:r>
            <w:proofErr w:type="spellStart"/>
            <w:r>
              <w:t>Wiliam</w:t>
            </w:r>
            <w:proofErr w:type="spellEnd"/>
            <w:r>
              <w:t xml:space="preserve">, Embedded formative assessment, Susan </w:t>
            </w:r>
            <w:proofErr w:type="spellStart"/>
            <w:r>
              <w:t>Brookhart</w:t>
            </w:r>
            <w:proofErr w:type="spellEnd"/>
            <w:r>
              <w:t xml:space="preserve"> Using Formative </w:t>
            </w:r>
            <w:proofErr w:type="spellStart"/>
            <w:r>
              <w:t>Assessement</w:t>
            </w:r>
            <w:proofErr w:type="spellEnd"/>
            <w:r>
              <w:t xml:space="preserve"> and Michael </w:t>
            </w:r>
            <w:proofErr w:type="spellStart"/>
            <w:r>
              <w:t>Fullan</w:t>
            </w:r>
            <w:proofErr w:type="spellEnd"/>
            <w:r>
              <w:t>- From Great to Excellent.</w:t>
            </w:r>
          </w:p>
          <w:p w:rsidR="005E4CFB" w:rsidRDefault="005E4CFB" w:rsidP="005A75DC">
            <w:r>
              <w:t>School visits Mid North Coast NSW, Toronto, Ontario.</w:t>
            </w:r>
          </w:p>
          <w:p w:rsidR="005E4CFB" w:rsidRDefault="005E4CFB" w:rsidP="005A75DC">
            <w:r>
              <w:t>Workshops and Conferences</w:t>
            </w:r>
          </w:p>
        </w:tc>
      </w:tr>
      <w:tr w:rsidR="005A75DC" w:rsidTr="005A75DC">
        <w:tc>
          <w:tcPr>
            <w:tcW w:w="2310" w:type="dxa"/>
          </w:tcPr>
          <w:p w:rsidR="005A75DC" w:rsidRDefault="005A75DC" w:rsidP="005A75DC">
            <w:pPr>
              <w:jc w:val="center"/>
            </w:pPr>
            <w:r>
              <w:t>Initial findings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C4728" w:rsidRDefault="005C4728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</w:p>
        </w:tc>
        <w:tc>
          <w:tcPr>
            <w:tcW w:w="7012" w:type="dxa"/>
          </w:tcPr>
          <w:p w:rsidR="005A75DC" w:rsidRDefault="005E4CFB" w:rsidP="005A75DC">
            <w:r>
              <w:t xml:space="preserve">Hattie’s </w:t>
            </w:r>
            <w:r w:rsidR="003503B5">
              <w:t>research indicates that</w:t>
            </w:r>
            <w:r>
              <w:t xml:space="preserve"> effective way</w:t>
            </w:r>
            <w:r w:rsidR="003503B5">
              <w:t>s</w:t>
            </w:r>
            <w:r>
              <w:t xml:space="preserve"> of </w:t>
            </w:r>
            <w:r w:rsidR="003503B5">
              <w:t>improving student outcomes include</w:t>
            </w:r>
            <w:r>
              <w:t xml:space="preserve"> assist</w:t>
            </w:r>
            <w:r w:rsidR="003503B5">
              <w:t>ing</w:t>
            </w:r>
            <w:r>
              <w:t xml:space="preserve"> students in self-regulation, descriptive feedba</w:t>
            </w:r>
            <w:r w:rsidR="003503B5">
              <w:t xml:space="preserve">ck and formative assessment.  The following indicates the results of </w:t>
            </w:r>
            <w:r w:rsidR="006936E1">
              <w:t xml:space="preserve">my </w:t>
            </w:r>
            <w:r w:rsidR="003503B5">
              <w:t>research and observations: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>Student engagement is increased when students have specific and personal learning goals to work on.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need clear, single focus goals in the early years to ensure skill is embedded and consistent, </w:t>
            </w:r>
            <w:proofErr w:type="spellStart"/>
            <w:r>
              <w:t>eg</w:t>
            </w:r>
            <w:proofErr w:type="spellEnd"/>
            <w:r>
              <w:t xml:space="preserve"> focus on finger spacing, focus on writing 4-5 sentences each time.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>Asking students to articulate what they are learning, why are they learning and how do they know if they are successful</w:t>
            </w:r>
            <w:r w:rsidR="006936E1">
              <w:t xml:space="preserve">, </w:t>
            </w:r>
            <w:r>
              <w:t xml:space="preserve">is a useful method of formative assessment of </w:t>
            </w:r>
            <w:r w:rsidR="006936E1">
              <w:t xml:space="preserve">the </w:t>
            </w:r>
            <w:r>
              <w:t>actual learning.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>Learning goals need to be visible to students and are particularly useful if co-created with students.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>Students accept differing rates of learning and can assist their peers by having learning partners for feedback, discussion and encouragement.</w:t>
            </w:r>
          </w:p>
          <w:p w:rsidR="003503B5" w:rsidRDefault="003503B5" w:rsidP="003503B5">
            <w:pPr>
              <w:pStyle w:val="ListParagraph"/>
              <w:numPr>
                <w:ilvl w:val="0"/>
                <w:numId w:val="1"/>
              </w:numPr>
            </w:pPr>
            <w:r>
              <w:t xml:space="preserve">The use of rubrics and checklists assist students in knowing </w:t>
            </w:r>
            <w:proofErr w:type="gramStart"/>
            <w:r>
              <w:t>‘ What</w:t>
            </w:r>
            <w:proofErr w:type="gramEnd"/>
            <w:r>
              <w:t xml:space="preserve"> good looks like’ and what the success criteria is. This leads to improved self-regulation and engagement.</w:t>
            </w:r>
            <w:bookmarkStart w:id="0" w:name="_GoBack"/>
            <w:bookmarkEnd w:id="0"/>
          </w:p>
        </w:tc>
      </w:tr>
      <w:tr w:rsidR="005A75DC" w:rsidTr="005A75DC">
        <w:tc>
          <w:tcPr>
            <w:tcW w:w="2310" w:type="dxa"/>
          </w:tcPr>
          <w:p w:rsidR="005A75DC" w:rsidRDefault="005A75DC" w:rsidP="00A660F4">
            <w:pPr>
              <w:jc w:val="center"/>
            </w:pPr>
            <w:r>
              <w:t>The author</w:t>
            </w:r>
          </w:p>
          <w:p w:rsidR="005A75DC" w:rsidRDefault="005A75DC" w:rsidP="005A75DC">
            <w:pPr>
              <w:jc w:val="center"/>
            </w:pPr>
          </w:p>
          <w:p w:rsidR="005A75DC" w:rsidRDefault="005A75DC" w:rsidP="005A75DC">
            <w:pPr>
              <w:jc w:val="center"/>
            </w:pPr>
            <w:r>
              <w:t>For further information contact:</w:t>
            </w:r>
          </w:p>
        </w:tc>
        <w:tc>
          <w:tcPr>
            <w:tcW w:w="7012" w:type="dxa"/>
          </w:tcPr>
          <w:p w:rsidR="005A75DC" w:rsidRDefault="005A75DC" w:rsidP="005A75DC">
            <w:r>
              <w:t>Name:</w:t>
            </w:r>
            <w:r w:rsidR="003503B5">
              <w:t xml:space="preserve"> </w:t>
            </w:r>
            <w:r w:rsidR="003503B5" w:rsidRPr="003503B5">
              <w:rPr>
                <w:b/>
              </w:rPr>
              <w:t xml:space="preserve">Sue </w:t>
            </w:r>
            <w:proofErr w:type="spellStart"/>
            <w:r w:rsidR="003503B5" w:rsidRPr="003503B5">
              <w:rPr>
                <w:b/>
              </w:rPr>
              <w:t>Bryen</w:t>
            </w:r>
            <w:proofErr w:type="spellEnd"/>
          </w:p>
          <w:p w:rsidR="005A75DC" w:rsidRDefault="005A75DC" w:rsidP="005A75DC"/>
          <w:p w:rsidR="005A75DC" w:rsidRDefault="005A75DC" w:rsidP="005A75DC">
            <w:r>
              <w:t>School/work place:</w:t>
            </w:r>
            <w:r w:rsidR="003503B5">
              <w:t xml:space="preserve"> Coramba Public School, Coramba, NSW 2450</w:t>
            </w:r>
          </w:p>
          <w:p w:rsidR="005A75DC" w:rsidRDefault="005A75DC" w:rsidP="005A75DC"/>
          <w:p w:rsidR="005C4728" w:rsidRDefault="005C4728" w:rsidP="005A75DC">
            <w:r>
              <w:t>Email:</w:t>
            </w:r>
            <w:r w:rsidR="003503B5">
              <w:t xml:space="preserve"> sue.bryen@det.nsw.edu.au</w:t>
            </w:r>
          </w:p>
          <w:p w:rsidR="005C4728" w:rsidRDefault="005C4728" w:rsidP="005A75DC"/>
          <w:p w:rsidR="005C4728" w:rsidRDefault="005C4728" w:rsidP="005A75DC">
            <w:r>
              <w:t>Phone:</w:t>
            </w:r>
            <w:r w:rsidR="003503B5">
              <w:t xml:space="preserve"> (02) 66544227</w:t>
            </w:r>
          </w:p>
          <w:p w:rsidR="005A75DC" w:rsidRDefault="005A75DC" w:rsidP="005A75DC"/>
        </w:tc>
      </w:tr>
    </w:tbl>
    <w:p w:rsidR="005A75DC" w:rsidRDefault="005A75DC" w:rsidP="003503B5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266" w:rsidRDefault="00BB4266" w:rsidP="005A75DC">
      <w:pPr>
        <w:spacing w:after="0" w:line="240" w:lineRule="auto"/>
      </w:pPr>
      <w:r>
        <w:separator/>
      </w:r>
    </w:p>
  </w:endnote>
  <w:endnote w:type="continuationSeparator" w:id="0">
    <w:p w:rsidR="00BB4266" w:rsidRDefault="00BB4266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266" w:rsidRDefault="00BB4266" w:rsidP="005A75DC">
      <w:pPr>
        <w:spacing w:after="0" w:line="240" w:lineRule="auto"/>
      </w:pPr>
      <w:r>
        <w:separator/>
      </w:r>
    </w:p>
  </w:footnote>
  <w:footnote w:type="continuationSeparator" w:id="0">
    <w:p w:rsidR="00BB4266" w:rsidRDefault="00BB4266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421"/>
    <w:multiLevelType w:val="hybridMultilevel"/>
    <w:tmpl w:val="94BC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57103"/>
    <w:rsid w:val="000D640F"/>
    <w:rsid w:val="003503B5"/>
    <w:rsid w:val="003B3921"/>
    <w:rsid w:val="005A75DC"/>
    <w:rsid w:val="005C4728"/>
    <w:rsid w:val="005E4CFB"/>
    <w:rsid w:val="00645CF2"/>
    <w:rsid w:val="006936E1"/>
    <w:rsid w:val="00A660F4"/>
    <w:rsid w:val="00A92EBA"/>
    <w:rsid w:val="00AA1B59"/>
    <w:rsid w:val="00BB4266"/>
    <w:rsid w:val="00CC76A8"/>
    <w:rsid w:val="00DD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dcterms:created xsi:type="dcterms:W3CDTF">2015-01-13T06:51:00Z</dcterms:created>
  <dcterms:modified xsi:type="dcterms:W3CDTF">2015-01-13T06:51:00Z</dcterms:modified>
</cp:coreProperties>
</file>